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C0" w:rsidRPr="00140DF8" w:rsidRDefault="00BF51C0" w:rsidP="00BF51C0">
      <w:pPr>
        <w:jc w:val="center"/>
        <w:rPr>
          <w:b/>
          <w:lang w:val="bg-BG" w:eastAsia="bg-BG"/>
        </w:rPr>
      </w:pPr>
      <w:r w:rsidRPr="00140DF8">
        <w:rPr>
          <w:b/>
          <w:lang w:val="bg-BG"/>
        </w:rPr>
        <w:t>РАЗДЕЛ ІV</w:t>
      </w:r>
    </w:p>
    <w:p w:rsidR="00BF51C0" w:rsidRPr="00140DF8" w:rsidRDefault="00BF51C0" w:rsidP="00BF51C0">
      <w:pPr>
        <w:jc w:val="center"/>
        <w:rPr>
          <w:b/>
          <w:lang w:val="bg-BG"/>
        </w:rPr>
      </w:pPr>
    </w:p>
    <w:p w:rsidR="00BF51C0" w:rsidRPr="00140DF8" w:rsidRDefault="00BF51C0" w:rsidP="00BF51C0">
      <w:pPr>
        <w:jc w:val="center"/>
        <w:rPr>
          <w:b/>
          <w:lang w:val="bg-BG"/>
        </w:rPr>
      </w:pPr>
      <w:r w:rsidRPr="00140DF8">
        <w:rPr>
          <w:b/>
          <w:lang w:val="bg-BG"/>
        </w:rPr>
        <w:t xml:space="preserve">МЕТОДИКА ЗА ОЦЕНКА НА ОФЕРТИТЕ ЗА УЧАСТИЕ </w:t>
      </w:r>
    </w:p>
    <w:p w:rsidR="00BF51C0" w:rsidRPr="00140DF8" w:rsidRDefault="00BF51C0" w:rsidP="00BF51C0">
      <w:pPr>
        <w:pStyle w:val="NoSpacing2"/>
        <w:jc w:val="center"/>
        <w:rPr>
          <w:rFonts w:ascii="Times New Roman" w:hAnsi="Times New Roman"/>
          <w:b/>
          <w:sz w:val="24"/>
          <w:szCs w:val="24"/>
        </w:rPr>
      </w:pPr>
      <w:r w:rsidRPr="00140DF8">
        <w:rPr>
          <w:rFonts w:ascii="Times New Roman" w:hAnsi="Times New Roman"/>
          <w:b/>
          <w:sz w:val="24"/>
          <w:szCs w:val="24"/>
        </w:rPr>
        <w:t>за обществена поръчка по чл. 20, ал. 1, т.1 от ЗОП – Открита процедура с предмет:</w:t>
      </w:r>
    </w:p>
    <w:p w:rsidR="00BF51C0" w:rsidRPr="00140DF8" w:rsidRDefault="00BF51C0" w:rsidP="00BF51C0">
      <w:pPr>
        <w:jc w:val="center"/>
        <w:rPr>
          <w:b/>
          <w:lang w:val="bg-BG"/>
        </w:rPr>
      </w:pPr>
    </w:p>
    <w:p w:rsidR="00BF51C0" w:rsidRPr="00140DF8" w:rsidRDefault="00BF51C0" w:rsidP="00BF51C0">
      <w:pPr>
        <w:jc w:val="center"/>
        <w:rPr>
          <w:b/>
          <w:lang w:val="bg-BG"/>
        </w:rPr>
      </w:pPr>
      <w:r w:rsidRPr="00140DF8">
        <w:rPr>
          <w:b/>
          <w:lang w:val="bg-BG"/>
        </w:rPr>
        <w:t>Инженеринг - проектиране,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Русе на обект: Блок №6, входове 1, 2, 3, 4, 5, 6, 7, ул. „</w:t>
      </w:r>
      <w:proofErr w:type="spellStart"/>
      <w:r w:rsidRPr="00140DF8">
        <w:rPr>
          <w:b/>
          <w:lang w:val="bg-BG"/>
        </w:rPr>
        <w:t>Изола</w:t>
      </w:r>
      <w:proofErr w:type="spellEnd"/>
      <w:r w:rsidRPr="00140DF8">
        <w:rPr>
          <w:b/>
          <w:lang w:val="bg-BG"/>
        </w:rPr>
        <w:t xml:space="preserve"> планина“ №22, жк. „Дружба 1“, гр. Русе</w:t>
      </w:r>
    </w:p>
    <w:p w:rsidR="00BF51C0" w:rsidRPr="00140DF8" w:rsidRDefault="00BF51C0" w:rsidP="00BF51C0">
      <w:pPr>
        <w:jc w:val="center"/>
        <w:rPr>
          <w:lang w:val="bg-BG"/>
        </w:rPr>
      </w:pPr>
    </w:p>
    <w:p w:rsidR="00BF51C0" w:rsidRPr="00140DF8" w:rsidRDefault="00BF51C0" w:rsidP="00BF51C0">
      <w:pPr>
        <w:numPr>
          <w:ilvl w:val="0"/>
          <w:numId w:val="1"/>
        </w:numPr>
        <w:jc w:val="both"/>
        <w:rPr>
          <w:lang w:val="bg-BG"/>
        </w:rPr>
      </w:pPr>
      <w:r w:rsidRPr="00140DF8">
        <w:rPr>
          <w:rFonts w:eastAsia="TimesNewRomanPSMT-Identity-H"/>
          <w:lang w:val="bg-BG"/>
        </w:rPr>
        <w:t>Критерий за възлагане: Оптимално съотношение качество/цена въз</w:t>
      </w:r>
      <w:r w:rsidRPr="00140DF8">
        <w:rPr>
          <w:lang w:val="bg-BG"/>
        </w:rPr>
        <w:t xml:space="preserve"> </w:t>
      </w:r>
      <w:r w:rsidRPr="00140DF8">
        <w:rPr>
          <w:rFonts w:eastAsia="TimesNewRomanPSMT-Identity-H"/>
          <w:lang w:val="bg-BG"/>
        </w:rPr>
        <w:t>основа на:</w:t>
      </w:r>
    </w:p>
    <w:p w:rsidR="00BF51C0" w:rsidRPr="00140DF8" w:rsidRDefault="00BF51C0" w:rsidP="00BF51C0">
      <w:pPr>
        <w:ind w:firstLine="708"/>
        <w:jc w:val="both"/>
        <w:rPr>
          <w:lang w:val="bg-BG"/>
        </w:rPr>
      </w:pPr>
      <w:r w:rsidRPr="00140DF8">
        <w:rPr>
          <w:rFonts w:eastAsia="TimesNewRomanPSMT-Identity-H"/>
          <w:lang w:val="bg-BG"/>
        </w:rPr>
        <w:t>Цена и качествени показатели</w:t>
      </w:r>
    </w:p>
    <w:p w:rsidR="00BF51C0" w:rsidRPr="00140DF8" w:rsidRDefault="00BF51C0" w:rsidP="00BF51C0">
      <w:pPr>
        <w:ind w:firstLine="708"/>
        <w:jc w:val="both"/>
        <w:rPr>
          <w:lang w:val="bg-BG"/>
        </w:rPr>
      </w:pPr>
      <w:r w:rsidRPr="00140DF8">
        <w:rPr>
          <w:rFonts w:eastAsia="TimesNewRomanPSMT-Identity-H"/>
          <w:lang w:val="bg-BG"/>
        </w:rPr>
        <w:t>Методика за определяне на комплексната оценка:</w:t>
      </w:r>
    </w:p>
    <w:p w:rsidR="00BF51C0" w:rsidRPr="00140DF8" w:rsidRDefault="00BF51C0" w:rsidP="00BF51C0">
      <w:pPr>
        <w:ind w:firstLine="708"/>
        <w:jc w:val="both"/>
        <w:rPr>
          <w:lang w:val="bg-BG"/>
        </w:rPr>
      </w:pPr>
      <w:r w:rsidRPr="00140DF8">
        <w:rPr>
          <w:rFonts w:eastAsia="TimesNewRomanPSMT-Identity-H"/>
          <w:lang w:val="bg-BG"/>
        </w:rPr>
        <w:t>Основната цел при съставянето на методиката и критериите за</w:t>
      </w:r>
      <w:r w:rsidRPr="00140DF8">
        <w:rPr>
          <w:lang w:val="bg-BG"/>
        </w:rPr>
        <w:t xml:space="preserve"> </w:t>
      </w:r>
      <w:r w:rsidRPr="00140DF8">
        <w:rPr>
          <w:rFonts w:eastAsia="TimesNewRomanPSMT-Identity-H"/>
          <w:lang w:val="bg-BG"/>
        </w:rPr>
        <w:t>оценяване е да бъде избрана икономически най-изгодната оферта, т.е.</w:t>
      </w:r>
      <w:r w:rsidRPr="00140DF8">
        <w:rPr>
          <w:lang w:val="bg-BG"/>
        </w:rPr>
        <w:t xml:space="preserve"> </w:t>
      </w:r>
      <w:r w:rsidRPr="00140DF8">
        <w:rPr>
          <w:rFonts w:eastAsia="TimesNewRomanPSMT-Identity-H"/>
          <w:lang w:val="bg-BG"/>
        </w:rPr>
        <w:t>участник, чиято оферта в най-голяма степен отговаря на предварително</w:t>
      </w:r>
      <w:r w:rsidRPr="00140DF8">
        <w:rPr>
          <w:lang w:val="bg-BG"/>
        </w:rPr>
        <w:t xml:space="preserve"> </w:t>
      </w:r>
      <w:r w:rsidRPr="00140DF8">
        <w:rPr>
          <w:rFonts w:eastAsia="TimesNewRomanPSMT-Identity-H"/>
          <w:lang w:val="bg-BG"/>
        </w:rPr>
        <w:t>обявените от възложителя условия. Класирането на допуснатите до оценка</w:t>
      </w:r>
      <w:r w:rsidRPr="00140DF8">
        <w:rPr>
          <w:lang w:val="bg-BG"/>
        </w:rPr>
        <w:t xml:space="preserve"> </w:t>
      </w:r>
      <w:r w:rsidRPr="00140DF8">
        <w:rPr>
          <w:rFonts w:eastAsia="TimesNewRomanPSMT-Identity-H"/>
          <w:lang w:val="bg-BG"/>
        </w:rPr>
        <w:t>оферти се извършва на база получената от всяка оферта „Комплексна</w:t>
      </w:r>
      <w:r w:rsidRPr="00140DF8">
        <w:rPr>
          <w:lang w:val="bg-BG"/>
        </w:rPr>
        <w:t xml:space="preserve"> </w:t>
      </w:r>
      <w:r w:rsidRPr="00140DF8">
        <w:rPr>
          <w:rFonts w:eastAsia="TimesNewRomanPSMT-Identity-H"/>
          <w:lang w:val="bg-BG"/>
        </w:rPr>
        <w:t>оценка” (КО). Максималният брой точки, който може да получи дадена оферта е 100 точки.</w:t>
      </w:r>
    </w:p>
    <w:p w:rsidR="00BF51C0" w:rsidRPr="00140DF8" w:rsidRDefault="00BF51C0" w:rsidP="00BF51C0">
      <w:pPr>
        <w:ind w:firstLine="708"/>
        <w:jc w:val="both"/>
        <w:rPr>
          <w:rFonts w:eastAsia="TimesNewRomanPSMT-Identity-H"/>
          <w:lang w:val="bg-BG"/>
        </w:rPr>
      </w:pPr>
      <w:r w:rsidRPr="00140DF8">
        <w:rPr>
          <w:rFonts w:eastAsia="TimesNewRomanPSMT-Identity-H"/>
          <w:lang w:val="bg-BG"/>
        </w:rPr>
        <w:t>На първо място се класира участникът с най-висока комплексна</w:t>
      </w:r>
      <w:r w:rsidRPr="00140DF8">
        <w:rPr>
          <w:lang w:val="bg-BG"/>
        </w:rPr>
        <w:t xml:space="preserve"> </w:t>
      </w:r>
      <w:r w:rsidRPr="00140DF8">
        <w:rPr>
          <w:rFonts w:eastAsia="TimesNewRomanPSMT-Identity-H"/>
          <w:lang w:val="bg-BG"/>
        </w:rPr>
        <w:t>оценка на офертата. Когато комплексните оценки на две или повече оферти са равни, с предимство се класира офертата, в която се съдържат по-изгодни предложения, преценени в следния ред:</w:t>
      </w:r>
    </w:p>
    <w:p w:rsidR="00BF51C0" w:rsidRPr="00140DF8" w:rsidRDefault="00BF51C0" w:rsidP="00BF51C0">
      <w:pPr>
        <w:ind w:firstLine="708"/>
        <w:jc w:val="both"/>
        <w:rPr>
          <w:rFonts w:eastAsia="TimesNewRomanPSMT-Identity-H"/>
          <w:lang w:val="bg-BG"/>
        </w:rPr>
      </w:pPr>
      <w:r w:rsidRPr="00140DF8">
        <w:rPr>
          <w:rFonts w:eastAsia="TimesNewRomanPSMT-Identity-H"/>
          <w:lang w:val="bg-BG"/>
        </w:rPr>
        <w:t>1. по-ниска предложена цена;</w:t>
      </w:r>
    </w:p>
    <w:p w:rsidR="00BF51C0" w:rsidRPr="00140DF8" w:rsidRDefault="00BF51C0" w:rsidP="00BF51C0">
      <w:pPr>
        <w:ind w:firstLine="708"/>
        <w:jc w:val="both"/>
        <w:rPr>
          <w:rFonts w:eastAsia="TimesNewRomanPSMT-Identity-H"/>
          <w:lang w:val="bg-BG"/>
        </w:rPr>
      </w:pPr>
      <w:r w:rsidRPr="00140DF8">
        <w:rPr>
          <w:rFonts w:eastAsia="TimesNewRomanPSMT-Identity-H"/>
          <w:lang w:val="bg-BG"/>
        </w:rPr>
        <w:t>2. по-изгодно предложение за размера на разходите, сравнени в низходящ ред съобразно тяхната тежест;</w:t>
      </w:r>
    </w:p>
    <w:p w:rsidR="00BF51C0" w:rsidRPr="00140DF8" w:rsidRDefault="00BF51C0" w:rsidP="00BF51C0">
      <w:pPr>
        <w:ind w:firstLine="708"/>
        <w:jc w:val="both"/>
        <w:rPr>
          <w:rFonts w:eastAsia="TimesNewRomanPSMT-Identity-H"/>
          <w:lang w:val="bg-BG"/>
        </w:rPr>
      </w:pPr>
      <w:r w:rsidRPr="00140DF8">
        <w:rPr>
          <w:rFonts w:eastAsia="TimesNewRomanPSMT-Identity-H"/>
          <w:lang w:val="bg-BG"/>
        </w:rPr>
        <w:t>3. по-изгодно предложение по показатели извън посочените по т. 1 и т. 2, сравнени в низходящ ред съобразно тяхната тежест.</w:t>
      </w:r>
    </w:p>
    <w:p w:rsidR="00BF51C0" w:rsidRPr="00140DF8" w:rsidRDefault="00BF51C0" w:rsidP="00BF51C0">
      <w:pPr>
        <w:ind w:firstLine="708"/>
        <w:jc w:val="both"/>
        <w:rPr>
          <w:rFonts w:eastAsia="TimesNewRomanPSMT-Identity-H"/>
          <w:lang w:val="bg-BG"/>
        </w:rPr>
      </w:pPr>
      <w:r w:rsidRPr="00140DF8">
        <w:rPr>
          <w:rFonts w:eastAsia="TimesNewRomanPSMT-Identity-H"/>
          <w:lang w:val="bg-BG"/>
        </w:rPr>
        <w:t>В случай, че участниците не могат да бъдат класирани в съответствие с горния ред, комисията провежда публично жребий за определяне на изпълнител между класираните на първо място оферти.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 xml:space="preserve">Класирането на офертите се извършва по комплексна оценка, изчислена на база показателите за оценка на офертата, като се търси икономически най-изгодната оферта. 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>Комплексната оценка (КО) на офертата на участника се изчислява по формулата: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>КО = К1+ К2+ К3</w:t>
      </w:r>
    </w:p>
    <w:p w:rsidR="00BF51C0" w:rsidRPr="00140DF8" w:rsidRDefault="00BF51C0" w:rsidP="00BF51C0">
      <w:pPr>
        <w:tabs>
          <w:tab w:val="left" w:pos="426"/>
        </w:tabs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>Максимално възможна оценка 100 точки.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u w:val="single"/>
          <w:lang w:val="bg-BG" w:eastAsia="bg-BG" w:bidi="bg-BG"/>
        </w:rPr>
      </w:pPr>
      <w:r w:rsidRPr="00140DF8">
        <w:rPr>
          <w:rFonts w:eastAsia="Arial Unicode MS"/>
          <w:bCs/>
          <w:color w:val="000000"/>
          <w:u w:val="single"/>
          <w:lang w:val="bg-BG" w:eastAsia="bg-BG" w:bidi="bg-BG"/>
        </w:rPr>
        <w:t>2. Показатели за оценка на офертите: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vertAlign w:val="subscript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>К1 = К</w:t>
      </w:r>
      <w:r w:rsidRPr="00140DF8">
        <w:rPr>
          <w:rFonts w:eastAsia="Arial Unicode MS"/>
          <w:bCs/>
          <w:color w:val="000000"/>
          <w:vertAlign w:val="subscript"/>
          <w:lang w:val="bg-BG" w:eastAsia="bg-BG" w:bidi="bg-BG"/>
        </w:rPr>
        <w:t>1.1</w:t>
      </w:r>
      <w:r w:rsidRPr="00140DF8">
        <w:rPr>
          <w:rFonts w:eastAsia="Arial Unicode MS"/>
          <w:bCs/>
          <w:color w:val="000000"/>
          <w:lang w:val="bg-BG" w:eastAsia="bg-BG" w:bidi="bg-BG"/>
        </w:rPr>
        <w:t xml:space="preserve"> + К</w:t>
      </w:r>
      <w:r w:rsidRPr="00140DF8">
        <w:rPr>
          <w:rFonts w:eastAsia="Arial Unicode MS"/>
          <w:bCs/>
          <w:color w:val="000000"/>
          <w:vertAlign w:val="subscript"/>
          <w:lang w:val="bg-BG" w:eastAsia="bg-BG" w:bidi="bg-BG"/>
        </w:rPr>
        <w:t>1.2</w:t>
      </w:r>
      <w:r w:rsidRPr="00140DF8">
        <w:rPr>
          <w:rFonts w:eastAsia="Arial Unicode MS"/>
          <w:bCs/>
          <w:color w:val="000000"/>
          <w:lang w:val="bg-BG" w:eastAsia="bg-BG" w:bidi="bg-BG"/>
        </w:rPr>
        <w:t xml:space="preserve"> + К</w:t>
      </w:r>
      <w:r w:rsidRPr="00140DF8">
        <w:rPr>
          <w:rFonts w:eastAsia="Arial Unicode MS"/>
          <w:bCs/>
          <w:color w:val="000000"/>
          <w:vertAlign w:val="subscript"/>
          <w:lang w:val="bg-BG" w:eastAsia="bg-BG" w:bidi="bg-BG"/>
        </w:rPr>
        <w:t>1.3</w:t>
      </w:r>
      <w:r w:rsidRPr="00140DF8">
        <w:rPr>
          <w:rFonts w:eastAsia="Arial Unicode MS"/>
          <w:bCs/>
          <w:color w:val="000000"/>
          <w:lang w:val="bg-BG" w:eastAsia="bg-BG" w:bidi="bg-BG"/>
        </w:rPr>
        <w:t xml:space="preserve"> - предлагана цена, в лева без включен ДДС</w:t>
      </w:r>
      <w:r w:rsidRPr="00140DF8">
        <w:rPr>
          <w:rFonts w:eastAsia="Arial Unicode MS"/>
          <w:bCs/>
          <w:color w:val="000000"/>
          <w:vertAlign w:val="subscript"/>
          <w:lang w:val="bg-BG" w:eastAsia="bg-BG" w:bidi="bg-BG"/>
        </w:rPr>
        <w:t>,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>където К</w:t>
      </w:r>
      <w:r w:rsidRPr="00140DF8">
        <w:rPr>
          <w:rFonts w:eastAsia="Arial Unicode MS"/>
          <w:bCs/>
          <w:color w:val="000000"/>
          <w:vertAlign w:val="subscript"/>
          <w:lang w:val="bg-BG" w:eastAsia="bg-BG" w:bidi="bg-BG"/>
        </w:rPr>
        <w:t>1.1</w:t>
      </w:r>
      <w:r w:rsidRPr="00140DF8">
        <w:rPr>
          <w:rFonts w:eastAsia="Arial Unicode MS"/>
          <w:bCs/>
          <w:color w:val="000000"/>
          <w:lang w:val="bg-BG" w:eastAsia="bg-BG" w:bidi="bg-BG"/>
        </w:rPr>
        <w:t xml:space="preserve"> – е предлага на цена за проектиране;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>К</w:t>
      </w:r>
      <w:r w:rsidRPr="00140DF8">
        <w:rPr>
          <w:rFonts w:eastAsia="Arial Unicode MS"/>
          <w:bCs/>
          <w:color w:val="000000"/>
          <w:vertAlign w:val="subscript"/>
          <w:lang w:val="bg-BG" w:eastAsia="bg-BG" w:bidi="bg-BG"/>
        </w:rPr>
        <w:t>1.2</w:t>
      </w:r>
      <w:r w:rsidRPr="00140DF8">
        <w:rPr>
          <w:rFonts w:eastAsia="Arial Unicode MS"/>
          <w:bCs/>
          <w:color w:val="000000"/>
          <w:lang w:val="bg-BG" w:eastAsia="bg-BG" w:bidi="bg-BG"/>
        </w:rPr>
        <w:t xml:space="preserve"> – е предлагана цена за СМР;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>К</w:t>
      </w:r>
      <w:r w:rsidRPr="00140DF8">
        <w:rPr>
          <w:rFonts w:eastAsia="Arial Unicode MS"/>
          <w:bCs/>
          <w:color w:val="000000"/>
          <w:vertAlign w:val="subscript"/>
          <w:lang w:val="bg-BG" w:eastAsia="bg-BG" w:bidi="bg-BG"/>
        </w:rPr>
        <w:t>1.3</w:t>
      </w:r>
      <w:r w:rsidRPr="00140DF8">
        <w:rPr>
          <w:rFonts w:eastAsia="Arial Unicode MS"/>
          <w:bCs/>
          <w:color w:val="000000"/>
          <w:lang w:val="bg-BG" w:eastAsia="bg-BG" w:bidi="bg-BG"/>
        </w:rPr>
        <w:t xml:space="preserve"> – е предлагана цена за авторски надзор;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>К2 – Организация за изпълнение на поръчката;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>К3 - Срок за изпълнение на поръчката.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/>
          <w:bCs/>
          <w:color w:val="000000"/>
          <w:lang w:val="bg-BG" w:eastAsia="bg-BG" w:bidi="bg-BG"/>
        </w:rPr>
        <w:t>2.1.Показател– К1 –„ПРЕДЛАГАНА ЦЕНА”</w:t>
      </w:r>
      <w:r w:rsidRPr="00140DF8">
        <w:rPr>
          <w:rFonts w:eastAsia="Arial Unicode MS"/>
          <w:bCs/>
          <w:color w:val="000000"/>
          <w:lang w:val="bg-BG" w:eastAsia="bg-BG" w:bidi="bg-BG"/>
        </w:rPr>
        <w:t xml:space="preserve">  с относителна тежест 50%.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 xml:space="preserve">Участникът предложил най – ниска цена, сборно на трите </w:t>
      </w:r>
      <w:proofErr w:type="spellStart"/>
      <w:r w:rsidRPr="00140DF8">
        <w:rPr>
          <w:rFonts w:eastAsia="Arial Unicode MS"/>
          <w:bCs/>
          <w:color w:val="000000"/>
          <w:lang w:val="bg-BG" w:eastAsia="bg-BG" w:bidi="bg-BG"/>
        </w:rPr>
        <w:t>подпоказателя</w:t>
      </w:r>
      <w:proofErr w:type="spellEnd"/>
      <w:r w:rsidRPr="00140DF8">
        <w:rPr>
          <w:rFonts w:eastAsia="Arial Unicode MS"/>
          <w:bCs/>
          <w:color w:val="000000"/>
          <w:lang w:val="bg-BG" w:eastAsia="bg-BG" w:bidi="bg-BG"/>
        </w:rPr>
        <w:t>, за изпълнение на поръчката получава максимален брой точки по показателя. Оценките на участниците по показателя се изчисляват по формулата: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>К1 = (</w:t>
      </w:r>
      <w:proofErr w:type="spellStart"/>
      <w:r w:rsidRPr="00140DF8">
        <w:rPr>
          <w:rFonts w:eastAsia="Arial Unicode MS"/>
          <w:bCs/>
          <w:color w:val="000000"/>
          <w:lang w:val="bg-BG" w:eastAsia="bg-BG" w:bidi="bg-BG"/>
        </w:rPr>
        <w:t>Цmin</w:t>
      </w:r>
      <w:proofErr w:type="spellEnd"/>
      <w:r w:rsidRPr="00140DF8">
        <w:rPr>
          <w:rFonts w:eastAsia="Arial Unicode MS"/>
          <w:bCs/>
          <w:color w:val="000000"/>
          <w:lang w:val="bg-BG" w:eastAsia="bg-BG" w:bidi="bg-BG"/>
        </w:rPr>
        <w:t xml:space="preserve"> / </w:t>
      </w:r>
      <w:proofErr w:type="spellStart"/>
      <w:r w:rsidRPr="00140DF8">
        <w:rPr>
          <w:rFonts w:eastAsia="Arial Unicode MS"/>
          <w:bCs/>
          <w:color w:val="000000"/>
          <w:lang w:val="bg-BG" w:eastAsia="bg-BG" w:bidi="bg-BG"/>
        </w:rPr>
        <w:t>Цi</w:t>
      </w:r>
      <w:proofErr w:type="spellEnd"/>
      <w:r w:rsidRPr="00140DF8">
        <w:rPr>
          <w:rFonts w:eastAsia="Arial Unicode MS"/>
          <w:bCs/>
          <w:color w:val="000000"/>
          <w:lang w:val="bg-BG" w:eastAsia="bg-BG" w:bidi="bg-BG"/>
        </w:rPr>
        <w:t>)*50 = .......... (брой точки)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 xml:space="preserve">Където </w:t>
      </w:r>
      <w:proofErr w:type="spellStart"/>
      <w:r w:rsidRPr="00140DF8">
        <w:rPr>
          <w:rFonts w:eastAsia="Arial Unicode MS"/>
          <w:bCs/>
          <w:color w:val="000000"/>
          <w:lang w:val="bg-BG" w:eastAsia="bg-BG" w:bidi="bg-BG"/>
        </w:rPr>
        <w:t>Цi</w:t>
      </w:r>
      <w:proofErr w:type="spellEnd"/>
      <w:r w:rsidRPr="00140DF8">
        <w:rPr>
          <w:rFonts w:eastAsia="Arial Unicode MS"/>
          <w:bCs/>
          <w:color w:val="000000"/>
          <w:lang w:val="bg-BG" w:eastAsia="bg-BG" w:bidi="bg-BG"/>
        </w:rPr>
        <w:t xml:space="preserve"> е предложената крайна цена в лева без ДДС на съответния участник.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lastRenderedPageBreak/>
        <w:t xml:space="preserve">Където </w:t>
      </w:r>
      <w:proofErr w:type="spellStart"/>
      <w:r w:rsidRPr="00140DF8">
        <w:rPr>
          <w:rFonts w:eastAsia="Arial Unicode MS"/>
          <w:bCs/>
          <w:color w:val="000000"/>
          <w:lang w:val="bg-BG" w:eastAsia="bg-BG" w:bidi="bg-BG"/>
        </w:rPr>
        <w:t>Цmin</w:t>
      </w:r>
      <w:proofErr w:type="spellEnd"/>
      <w:r w:rsidRPr="00140DF8">
        <w:rPr>
          <w:rFonts w:eastAsia="Arial Unicode MS"/>
          <w:bCs/>
          <w:color w:val="000000"/>
          <w:lang w:val="bg-BG" w:eastAsia="bg-BG" w:bidi="bg-BG"/>
        </w:rPr>
        <w:t xml:space="preserve"> е минималната предложена крайна цена в лева без ДДС съгласно ценовите предложения на всички участници.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/>
          <w:bCs/>
          <w:color w:val="000000"/>
          <w:lang w:val="bg-BG" w:eastAsia="bg-BG" w:bidi="bg-BG"/>
        </w:rPr>
        <w:t xml:space="preserve">2.2. Показател К2 – Организация за изпълнение на поръчката – </w:t>
      </w:r>
      <w:r w:rsidRPr="00140DF8">
        <w:rPr>
          <w:rFonts w:eastAsia="Arial Unicode MS"/>
          <w:bCs/>
          <w:color w:val="000000"/>
          <w:lang w:val="bg-BG" w:eastAsia="bg-BG" w:bidi="bg-BG"/>
        </w:rPr>
        <w:t>в техническото си предложение участникът трябва да посочи организацията за изпълнение на проектирането и строителството съгласно Техническата спецификация. Оценява се посочената организация на работа. Показателят се изчислява по следния начин: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5"/>
        <w:gridCol w:w="1475"/>
      </w:tblGrid>
      <w:tr w:rsidR="00BF51C0" w:rsidRPr="00140DF8" w:rsidTr="00923CD0">
        <w:trPr>
          <w:trHeight w:val="117"/>
        </w:trPr>
        <w:tc>
          <w:tcPr>
            <w:tcW w:w="7705" w:type="dxa"/>
            <w:shd w:val="clear" w:color="auto" w:fill="92D050"/>
          </w:tcPr>
          <w:p w:rsidR="00BF51C0" w:rsidRPr="00140DF8" w:rsidRDefault="00BF51C0" w:rsidP="00923CD0">
            <w:pPr>
              <w:ind w:firstLine="709"/>
              <w:jc w:val="both"/>
              <w:rPr>
                <w:rFonts w:eastAsia="Calibri"/>
                <w:b/>
                <w:bCs/>
                <w:lang w:val="bg-BG"/>
              </w:rPr>
            </w:pPr>
            <w:r w:rsidRPr="00140DF8">
              <w:rPr>
                <w:rFonts w:eastAsia="Calibri"/>
                <w:b/>
                <w:lang w:val="bg-BG"/>
              </w:rPr>
              <w:t>Организация за изпълнение на поръчката</w:t>
            </w:r>
          </w:p>
        </w:tc>
        <w:tc>
          <w:tcPr>
            <w:tcW w:w="1475" w:type="dxa"/>
            <w:shd w:val="clear" w:color="auto" w:fill="92D050"/>
          </w:tcPr>
          <w:p w:rsidR="00BF51C0" w:rsidRPr="00140DF8" w:rsidRDefault="00BF51C0" w:rsidP="00923CD0">
            <w:pPr>
              <w:jc w:val="both"/>
              <w:rPr>
                <w:rFonts w:eastAsia="Calibri"/>
                <w:b/>
                <w:bCs/>
                <w:lang w:val="bg-BG"/>
              </w:rPr>
            </w:pPr>
            <w:proofErr w:type="spellStart"/>
            <w:r w:rsidRPr="00140DF8">
              <w:rPr>
                <w:rFonts w:eastAsia="Calibri"/>
                <w:b/>
                <w:bCs/>
                <w:lang w:val="bg-BG"/>
              </w:rPr>
              <w:t>макс</w:t>
            </w:r>
            <w:proofErr w:type="spellEnd"/>
            <w:r w:rsidRPr="00140DF8">
              <w:rPr>
                <w:rFonts w:eastAsia="Calibri"/>
                <w:b/>
                <w:bCs/>
                <w:lang w:val="bg-BG"/>
              </w:rPr>
              <w:t>. 40</w:t>
            </w:r>
          </w:p>
        </w:tc>
      </w:tr>
      <w:tr w:rsidR="00BF51C0" w:rsidRPr="00140DF8" w:rsidTr="00923CD0">
        <w:trPr>
          <w:trHeight w:val="1214"/>
        </w:trPr>
        <w:tc>
          <w:tcPr>
            <w:tcW w:w="7705" w:type="dxa"/>
          </w:tcPr>
          <w:p w:rsidR="00BF51C0" w:rsidRPr="00140DF8" w:rsidRDefault="00BF51C0" w:rsidP="00923CD0">
            <w:pPr>
              <w:ind w:firstLine="709"/>
              <w:jc w:val="both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BF51C0" w:rsidRPr="00140DF8" w:rsidRDefault="00BF51C0" w:rsidP="00923CD0">
            <w:pPr>
              <w:ind w:firstLine="709"/>
              <w:contextualSpacing/>
              <w:jc w:val="both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 xml:space="preserve">- участникът е представил организация за изпълнение на проектирането и строителството съгласно Техническата спецификация. </w:t>
            </w:r>
          </w:p>
          <w:p w:rsidR="00BF51C0" w:rsidRPr="00140DF8" w:rsidRDefault="00BF51C0" w:rsidP="00923CD0">
            <w:pPr>
              <w:ind w:firstLine="709"/>
              <w:contextualSpacing/>
              <w:jc w:val="both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 w:eastAsia="bg-BG"/>
              </w:rPr>
              <w:t xml:space="preserve">- 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услуга. </w:t>
            </w:r>
          </w:p>
        </w:tc>
        <w:tc>
          <w:tcPr>
            <w:tcW w:w="1475" w:type="dxa"/>
          </w:tcPr>
          <w:p w:rsidR="00BF51C0" w:rsidRPr="00140DF8" w:rsidRDefault="00BF51C0" w:rsidP="00923CD0">
            <w:pPr>
              <w:jc w:val="right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jc w:val="right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jc w:val="right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jc w:val="right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jc w:val="both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jc w:val="center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>5</w:t>
            </w:r>
          </w:p>
        </w:tc>
      </w:tr>
      <w:tr w:rsidR="00BF51C0" w:rsidRPr="00140DF8" w:rsidTr="00923CD0">
        <w:trPr>
          <w:trHeight w:val="117"/>
        </w:trPr>
        <w:tc>
          <w:tcPr>
            <w:tcW w:w="7705" w:type="dxa"/>
          </w:tcPr>
          <w:p w:rsidR="00BF51C0" w:rsidRPr="00140DF8" w:rsidRDefault="00BF51C0" w:rsidP="00923CD0">
            <w:pPr>
              <w:ind w:firstLine="709"/>
              <w:jc w:val="both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BF51C0" w:rsidRPr="00140DF8" w:rsidRDefault="00BF51C0" w:rsidP="00923CD0">
            <w:pPr>
              <w:ind w:firstLine="709"/>
              <w:contextualSpacing/>
              <w:jc w:val="both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 xml:space="preserve">- участникът е представил организация за изпълнение на проектирането и строителството съгласно Техническата спецификация. </w:t>
            </w:r>
          </w:p>
          <w:p w:rsidR="00BF51C0" w:rsidRPr="00140DF8" w:rsidRDefault="00BF51C0" w:rsidP="00923CD0">
            <w:pPr>
              <w:ind w:firstLine="709"/>
              <w:jc w:val="both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 xml:space="preserve">- 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услуга. </w:t>
            </w:r>
          </w:p>
          <w:p w:rsidR="00BF51C0" w:rsidRPr="00140DF8" w:rsidRDefault="00BF51C0" w:rsidP="00923CD0">
            <w:pPr>
              <w:ind w:firstLine="709"/>
              <w:jc w:val="both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>Техническото предложение надгражда минималните изисквания на Възложителя, посочени в Техническата спецификация при условие, че са налични две от следните обстоятелства:</w:t>
            </w:r>
          </w:p>
          <w:p w:rsidR="00BF51C0" w:rsidRPr="00140DF8" w:rsidRDefault="00BF51C0" w:rsidP="00923CD0">
            <w:pPr>
              <w:spacing w:before="60"/>
              <w:ind w:firstLine="709"/>
              <w:jc w:val="both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 xml:space="preserve">1. За всяка от дейностите е показано </w:t>
            </w:r>
            <w:r>
              <w:rPr>
                <w:rFonts w:eastAsia="Calibri"/>
                <w:lang w:val="bg-BG"/>
              </w:rPr>
              <w:t xml:space="preserve">и обосновано </w:t>
            </w:r>
            <w:r w:rsidRPr="00140DF8">
              <w:rPr>
                <w:rFonts w:eastAsia="Calibri"/>
                <w:lang w:val="bg-BG"/>
              </w:rPr>
              <w:t xml:space="preserve">разпределението по експерти (кой какво ще изпълнява) на ниво отделна задача </w:t>
            </w:r>
            <w:r w:rsidRPr="00140DF8">
              <w:rPr>
                <w:rFonts w:eastAsia="Calibri"/>
                <w:i/>
                <w:lang w:val="bg-BG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140DF8">
              <w:rPr>
                <w:rFonts w:eastAsia="Calibri"/>
                <w:lang w:val="bg-BG"/>
              </w:rPr>
              <w:t>;</w:t>
            </w:r>
          </w:p>
          <w:p w:rsidR="00BF51C0" w:rsidRPr="00140DF8" w:rsidRDefault="00BF51C0" w:rsidP="00923CD0">
            <w:pPr>
              <w:spacing w:before="60"/>
              <w:ind w:firstLine="709"/>
              <w:jc w:val="both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>2. За всяка дейност са дефинирани</w:t>
            </w:r>
            <w:r>
              <w:rPr>
                <w:rFonts w:eastAsia="Calibri"/>
                <w:lang w:val="bg-BG"/>
              </w:rPr>
              <w:t xml:space="preserve"> и обосновани</w:t>
            </w:r>
            <w:r w:rsidRPr="00140DF8">
              <w:rPr>
                <w:rFonts w:eastAsia="Calibri"/>
                <w:lang w:val="bg-BG"/>
              </w:rPr>
              <w:t xml:space="preserve"> необходимите ресурси за нейното изпълнение (материали, </w:t>
            </w:r>
            <w:proofErr w:type="spellStart"/>
            <w:r w:rsidRPr="00140DF8">
              <w:rPr>
                <w:rFonts w:eastAsia="Calibri"/>
                <w:lang w:val="bg-BG"/>
              </w:rPr>
              <w:t>механизация,работници</w:t>
            </w:r>
            <w:proofErr w:type="spellEnd"/>
            <w:r w:rsidRPr="00140DF8">
              <w:rPr>
                <w:rFonts w:eastAsia="Calibri"/>
                <w:lang w:val="bg-BG"/>
              </w:rPr>
              <w:t xml:space="preserve"> и др.) и задълженията на отговорния/те за изпълнението й експерт/и;</w:t>
            </w:r>
          </w:p>
          <w:p w:rsidR="00BF51C0" w:rsidRPr="00140DF8" w:rsidRDefault="00BF51C0" w:rsidP="00923CD0">
            <w:pPr>
              <w:spacing w:before="60"/>
              <w:ind w:firstLine="709"/>
              <w:jc w:val="both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>3. Предложени са</w:t>
            </w:r>
            <w:r>
              <w:rPr>
                <w:rFonts w:eastAsia="Calibri"/>
                <w:lang w:val="bg-BG"/>
              </w:rPr>
              <w:t xml:space="preserve"> и са обосновани</w:t>
            </w:r>
            <w:r w:rsidRPr="00140DF8">
              <w:rPr>
                <w:rFonts w:eastAsia="Calibri"/>
                <w:lang w:val="bg-BG"/>
              </w:rPr>
              <w:t xml:space="preserve"> мерки за вътрешен контрол и организация на работата на екипа от експерти, с които да се гарантира качествено изпълнение на поръчката.</w:t>
            </w:r>
          </w:p>
          <w:p w:rsidR="00BF51C0" w:rsidRPr="00140DF8" w:rsidRDefault="00BF51C0" w:rsidP="00923CD0">
            <w:pPr>
              <w:spacing w:before="60"/>
              <w:ind w:firstLine="709"/>
              <w:jc w:val="both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 xml:space="preserve">4. Посочени са и други дейности, извън посочените в </w:t>
            </w:r>
            <w:r w:rsidRPr="00140DF8">
              <w:rPr>
                <w:rFonts w:eastAsia="Calibri"/>
                <w:lang w:val="bg-BG"/>
              </w:rPr>
              <w:lastRenderedPageBreak/>
              <w:t>изискванията на Възложителя, които са детайлно описани като съдържание и е обосновано, че тяхното включване ще доведе до повишаване качеството на изпълнение на поръчката.</w:t>
            </w:r>
          </w:p>
          <w:p w:rsidR="00BF51C0" w:rsidRPr="00140DF8" w:rsidRDefault="00BF51C0" w:rsidP="00923CD0">
            <w:pPr>
              <w:ind w:firstLine="709"/>
              <w:jc w:val="both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>„Обосновава“ за целите на настоящата методика, означава 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475" w:type="dxa"/>
          </w:tcPr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jc w:val="center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>15</w:t>
            </w:r>
          </w:p>
        </w:tc>
      </w:tr>
      <w:tr w:rsidR="00BF51C0" w:rsidRPr="00140DF8" w:rsidTr="00923CD0">
        <w:trPr>
          <w:trHeight w:val="117"/>
        </w:trPr>
        <w:tc>
          <w:tcPr>
            <w:tcW w:w="7705" w:type="dxa"/>
          </w:tcPr>
          <w:p w:rsidR="00BF51C0" w:rsidRPr="00140DF8" w:rsidRDefault="00BF51C0" w:rsidP="00923CD0">
            <w:pPr>
              <w:ind w:firstLine="709"/>
              <w:jc w:val="both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BF51C0" w:rsidRPr="00140DF8" w:rsidRDefault="00BF51C0" w:rsidP="00923CD0">
            <w:pPr>
              <w:ind w:firstLine="709"/>
              <w:contextualSpacing/>
              <w:jc w:val="both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>- участникът е представил организация за изпълнение на проектирането и строителството съгласно Техническата спецификация.</w:t>
            </w:r>
          </w:p>
          <w:p w:rsidR="00BF51C0" w:rsidRPr="00140DF8" w:rsidRDefault="00BF51C0" w:rsidP="00923CD0">
            <w:pPr>
              <w:ind w:firstLine="709"/>
              <w:jc w:val="both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 xml:space="preserve">- 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услуга. </w:t>
            </w:r>
          </w:p>
          <w:p w:rsidR="00BF51C0" w:rsidRPr="00140DF8" w:rsidRDefault="00BF51C0" w:rsidP="00923CD0">
            <w:pPr>
              <w:ind w:firstLine="709"/>
              <w:jc w:val="both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>Техническото предложение надгражда минималните изисквания на Възложителя, посочени в Техническата спецификация при условие, че са налични три от следните обстоятелства:</w:t>
            </w:r>
          </w:p>
          <w:p w:rsidR="00BF51C0" w:rsidRPr="00140DF8" w:rsidRDefault="00BF51C0" w:rsidP="00923CD0">
            <w:pPr>
              <w:spacing w:before="60"/>
              <w:ind w:firstLine="709"/>
              <w:jc w:val="both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 xml:space="preserve">1. За всяка от дейностите е показано </w:t>
            </w:r>
            <w:r>
              <w:rPr>
                <w:rFonts w:eastAsia="Calibri"/>
                <w:lang w:val="bg-BG"/>
              </w:rPr>
              <w:t xml:space="preserve">и обосновано </w:t>
            </w:r>
            <w:r w:rsidRPr="00140DF8">
              <w:rPr>
                <w:rFonts w:eastAsia="Calibri"/>
                <w:lang w:val="bg-BG"/>
              </w:rPr>
              <w:t xml:space="preserve">разпределението по експерти (кой какво ще изпълнява) на ниво отделна задача </w:t>
            </w:r>
            <w:r w:rsidRPr="00140DF8">
              <w:rPr>
                <w:rFonts w:eastAsia="Calibri"/>
                <w:i/>
                <w:lang w:val="bg-BG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140DF8">
              <w:rPr>
                <w:rFonts w:eastAsia="Calibri"/>
                <w:lang w:val="bg-BG"/>
              </w:rPr>
              <w:t>;</w:t>
            </w:r>
          </w:p>
          <w:p w:rsidR="00BF51C0" w:rsidRPr="00140DF8" w:rsidRDefault="00BF51C0" w:rsidP="00923CD0">
            <w:pPr>
              <w:spacing w:before="60"/>
              <w:ind w:firstLine="709"/>
              <w:jc w:val="both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 xml:space="preserve">2. За всяка дейност са дефинирани </w:t>
            </w:r>
            <w:r>
              <w:rPr>
                <w:rFonts w:eastAsia="Calibri"/>
                <w:lang w:val="bg-BG"/>
              </w:rPr>
              <w:t xml:space="preserve">и обосновани </w:t>
            </w:r>
            <w:r w:rsidRPr="00140DF8">
              <w:rPr>
                <w:rFonts w:eastAsia="Calibri"/>
                <w:lang w:val="bg-BG"/>
              </w:rPr>
              <w:t>необходимите ресурси за нейното изпълнение (материали, механизация, работници и др.) и задълженията на отговорния/те за изпълнението й експерт/и;</w:t>
            </w:r>
          </w:p>
          <w:p w:rsidR="00BF51C0" w:rsidRPr="00140DF8" w:rsidRDefault="00BF51C0" w:rsidP="00923CD0">
            <w:pPr>
              <w:spacing w:before="60"/>
              <w:ind w:firstLine="709"/>
              <w:jc w:val="both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>3. Предложени са</w:t>
            </w:r>
            <w:r>
              <w:rPr>
                <w:rFonts w:eastAsia="Calibri"/>
                <w:lang w:val="bg-BG"/>
              </w:rPr>
              <w:t xml:space="preserve"> и са обосновани</w:t>
            </w:r>
            <w:r w:rsidRPr="00140DF8">
              <w:rPr>
                <w:rFonts w:eastAsia="Calibri"/>
                <w:lang w:val="bg-BG"/>
              </w:rPr>
              <w:t xml:space="preserve"> мерки за вътрешен контрол и организация на работата на екипа от експерти, с които да се гарантира качествено изпълнение на поръчката.</w:t>
            </w:r>
          </w:p>
          <w:p w:rsidR="00BF51C0" w:rsidRPr="00140DF8" w:rsidRDefault="00BF51C0" w:rsidP="00923CD0">
            <w:pPr>
              <w:spacing w:before="60"/>
              <w:ind w:firstLine="709"/>
              <w:jc w:val="both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>4. Посочени са и други дейности, извън посочените в изискванията на Възложителя, които са детайлно описани като съдържание и е обосновано, че тяхното включване ще доведе до повишаване качеството на изпълнение на поръчката.</w:t>
            </w:r>
          </w:p>
          <w:p w:rsidR="00BF51C0" w:rsidRPr="00140DF8" w:rsidRDefault="00BF51C0" w:rsidP="00923CD0">
            <w:pPr>
              <w:ind w:firstLine="709"/>
              <w:jc w:val="both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>„Обосновава“ за целите на настоящата методика, означава 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475" w:type="dxa"/>
          </w:tcPr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jc w:val="center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>25</w:t>
            </w:r>
          </w:p>
        </w:tc>
      </w:tr>
      <w:tr w:rsidR="00BF51C0" w:rsidRPr="00140DF8" w:rsidTr="00923CD0">
        <w:trPr>
          <w:trHeight w:val="117"/>
        </w:trPr>
        <w:tc>
          <w:tcPr>
            <w:tcW w:w="7705" w:type="dxa"/>
          </w:tcPr>
          <w:p w:rsidR="00BF51C0" w:rsidRPr="00140DF8" w:rsidRDefault="00BF51C0" w:rsidP="00923CD0">
            <w:pPr>
              <w:ind w:firstLine="709"/>
              <w:jc w:val="both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BF51C0" w:rsidRPr="00140DF8" w:rsidRDefault="00BF51C0" w:rsidP="00923CD0">
            <w:pPr>
              <w:ind w:firstLine="709"/>
              <w:contextualSpacing/>
              <w:jc w:val="both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>- участникът е представил организация за изпълнение на проектирането и строителството съгласно Техническата спецификация.</w:t>
            </w:r>
          </w:p>
          <w:p w:rsidR="00BF51C0" w:rsidRPr="00140DF8" w:rsidRDefault="00BF51C0" w:rsidP="00923CD0">
            <w:pPr>
              <w:ind w:firstLine="709"/>
              <w:jc w:val="both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 xml:space="preserve">- 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</w:t>
            </w:r>
            <w:r w:rsidRPr="00140DF8">
              <w:rPr>
                <w:rFonts w:eastAsia="Calibri"/>
                <w:lang w:val="bg-BG"/>
              </w:rPr>
              <w:lastRenderedPageBreak/>
              <w:t xml:space="preserve">аспекти, които са необходими за качественото и срочно изпълнение на възложената услуга. </w:t>
            </w:r>
          </w:p>
          <w:p w:rsidR="00BF51C0" w:rsidRPr="00140DF8" w:rsidRDefault="00BF51C0" w:rsidP="00923CD0">
            <w:pPr>
              <w:ind w:firstLine="709"/>
              <w:jc w:val="both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>Техническото предложение надгражда минималните изисквания на Възложителя, посочени в Техническата спецификация при условие, че са налични и четирите обстоятелства:</w:t>
            </w:r>
          </w:p>
          <w:p w:rsidR="00BF51C0" w:rsidRPr="00140DF8" w:rsidRDefault="00BF51C0" w:rsidP="00923CD0">
            <w:pPr>
              <w:spacing w:before="60"/>
              <w:ind w:firstLine="709"/>
              <w:jc w:val="both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>1. За всяка от дейностите е показано</w:t>
            </w:r>
            <w:r>
              <w:rPr>
                <w:rFonts w:eastAsia="Calibri"/>
                <w:lang w:val="bg-BG"/>
              </w:rPr>
              <w:t xml:space="preserve"> и обосновано</w:t>
            </w:r>
            <w:r w:rsidRPr="00140DF8">
              <w:rPr>
                <w:rFonts w:eastAsia="Calibri"/>
                <w:lang w:val="bg-BG"/>
              </w:rPr>
              <w:t xml:space="preserve"> разпределението по експерти (кой какво ще изпълнява) на ниво отделна задача </w:t>
            </w:r>
            <w:r w:rsidRPr="00140DF8">
              <w:rPr>
                <w:rFonts w:eastAsia="Calibri"/>
                <w:i/>
                <w:lang w:val="bg-BG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140DF8">
              <w:rPr>
                <w:rFonts w:eastAsia="Calibri"/>
                <w:lang w:val="bg-BG"/>
              </w:rPr>
              <w:t>;</w:t>
            </w:r>
          </w:p>
          <w:p w:rsidR="00BF51C0" w:rsidRPr="00140DF8" w:rsidRDefault="00BF51C0" w:rsidP="00923CD0">
            <w:pPr>
              <w:spacing w:before="60"/>
              <w:ind w:firstLine="709"/>
              <w:jc w:val="both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>2. За всяка дейност са дефинирани</w:t>
            </w:r>
            <w:r>
              <w:rPr>
                <w:rFonts w:eastAsia="Calibri"/>
                <w:lang w:val="bg-BG"/>
              </w:rPr>
              <w:t xml:space="preserve"> и са обосновани</w:t>
            </w:r>
            <w:r w:rsidRPr="00140DF8">
              <w:rPr>
                <w:rFonts w:eastAsia="Calibri"/>
                <w:lang w:val="bg-BG"/>
              </w:rPr>
              <w:t xml:space="preserve"> необходимите ресурси за нейното изпълнение (материали, </w:t>
            </w:r>
            <w:proofErr w:type="spellStart"/>
            <w:r w:rsidRPr="00140DF8">
              <w:rPr>
                <w:rFonts w:eastAsia="Calibri"/>
                <w:lang w:val="bg-BG"/>
              </w:rPr>
              <w:t>механизация,работници</w:t>
            </w:r>
            <w:proofErr w:type="spellEnd"/>
            <w:r w:rsidRPr="00140DF8">
              <w:rPr>
                <w:rFonts w:eastAsia="Calibri"/>
                <w:lang w:val="bg-BG"/>
              </w:rPr>
              <w:t xml:space="preserve"> и др.) и задълженията на отговорния/те за изпълнението й експерт/и;</w:t>
            </w:r>
          </w:p>
          <w:p w:rsidR="00BF51C0" w:rsidRPr="00140DF8" w:rsidRDefault="00BF51C0" w:rsidP="00923CD0">
            <w:pPr>
              <w:spacing w:before="60"/>
              <w:ind w:firstLine="709"/>
              <w:jc w:val="both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>3. Предложени са</w:t>
            </w:r>
            <w:r>
              <w:rPr>
                <w:rFonts w:eastAsia="Calibri"/>
                <w:lang w:val="bg-BG"/>
              </w:rPr>
              <w:t xml:space="preserve"> и са обосновани</w:t>
            </w:r>
            <w:r w:rsidRPr="00140DF8">
              <w:rPr>
                <w:rFonts w:eastAsia="Calibri"/>
                <w:lang w:val="bg-BG"/>
              </w:rPr>
              <w:t xml:space="preserve"> мерки за вътрешен контрол и организация на работата на екипа от експерти, с които да се гарантира качествено изпълнение на поръчката.</w:t>
            </w:r>
          </w:p>
          <w:p w:rsidR="00BF51C0" w:rsidRPr="00140DF8" w:rsidRDefault="00BF51C0" w:rsidP="00923CD0">
            <w:pPr>
              <w:spacing w:before="60"/>
              <w:ind w:firstLine="709"/>
              <w:jc w:val="both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>4. Посочени са и други дейности, извън посочените в изискванията на Възложителя, които са детайлно описани като съдържание и е обосновано, че тяхното включване ще доведе до повишаване качеството на изпълнение на поръчката.</w:t>
            </w:r>
          </w:p>
          <w:p w:rsidR="00BF51C0" w:rsidRPr="00140DF8" w:rsidRDefault="00BF51C0" w:rsidP="00923CD0">
            <w:pPr>
              <w:ind w:firstLine="709"/>
              <w:jc w:val="both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>„Обосновава“ за целите на настоящата методика, означава 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475" w:type="dxa"/>
          </w:tcPr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ind w:firstLine="709"/>
              <w:jc w:val="center"/>
              <w:rPr>
                <w:rFonts w:eastAsia="Calibri"/>
                <w:lang w:val="bg-BG"/>
              </w:rPr>
            </w:pPr>
          </w:p>
          <w:p w:rsidR="00BF51C0" w:rsidRPr="00140DF8" w:rsidRDefault="00BF51C0" w:rsidP="00923CD0">
            <w:pPr>
              <w:jc w:val="center"/>
              <w:rPr>
                <w:rFonts w:eastAsia="Calibri"/>
                <w:lang w:val="bg-BG"/>
              </w:rPr>
            </w:pPr>
            <w:r w:rsidRPr="00140DF8">
              <w:rPr>
                <w:rFonts w:eastAsia="Calibri"/>
                <w:lang w:val="bg-BG"/>
              </w:rPr>
              <w:t>40</w:t>
            </w:r>
          </w:p>
        </w:tc>
      </w:tr>
    </w:tbl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/>
          <w:bCs/>
          <w:color w:val="000000"/>
          <w:lang w:val="bg-BG" w:eastAsia="bg-BG" w:bidi="bg-BG"/>
        </w:rPr>
        <w:t>2.3.Показател К3 - „Срок за изпълнение на поръчката”</w:t>
      </w:r>
      <w:r w:rsidRPr="00140DF8">
        <w:rPr>
          <w:rFonts w:eastAsia="Arial Unicode MS"/>
          <w:bCs/>
          <w:color w:val="000000"/>
          <w:lang w:val="bg-BG" w:eastAsia="bg-BG" w:bidi="bg-BG"/>
        </w:rPr>
        <w:t xml:space="preserve"> – показателят се изчислява по следната формула: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>К3 = (</w:t>
      </w:r>
      <w:proofErr w:type="spellStart"/>
      <w:r w:rsidRPr="00140DF8">
        <w:rPr>
          <w:rFonts w:eastAsia="Arial Unicode MS"/>
          <w:bCs/>
          <w:color w:val="000000"/>
          <w:lang w:val="bg-BG" w:eastAsia="bg-BG" w:bidi="bg-BG"/>
        </w:rPr>
        <w:t>ОцСп</w:t>
      </w:r>
      <w:proofErr w:type="spellEnd"/>
      <w:r w:rsidRPr="00140DF8">
        <w:rPr>
          <w:rFonts w:eastAsia="Arial Unicode MS"/>
          <w:bCs/>
          <w:color w:val="000000"/>
          <w:lang w:val="bg-BG" w:eastAsia="bg-BG" w:bidi="bg-BG"/>
        </w:rPr>
        <w:t xml:space="preserve"> + </w:t>
      </w:r>
      <w:proofErr w:type="spellStart"/>
      <w:r w:rsidRPr="00140DF8">
        <w:rPr>
          <w:rFonts w:eastAsia="Arial Unicode MS"/>
          <w:bCs/>
          <w:color w:val="000000"/>
          <w:lang w:val="bg-BG" w:eastAsia="bg-BG" w:bidi="bg-BG"/>
        </w:rPr>
        <w:t>ОцСсмр</w:t>
      </w:r>
      <w:proofErr w:type="spellEnd"/>
      <w:r w:rsidRPr="00140DF8">
        <w:rPr>
          <w:rFonts w:eastAsia="Arial Unicode MS"/>
          <w:bCs/>
          <w:color w:val="000000"/>
          <w:lang w:val="bg-BG" w:eastAsia="bg-BG" w:bidi="bg-BG"/>
        </w:rPr>
        <w:t>)*10%, където,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</w:p>
    <w:p w:rsidR="00BF51C0" w:rsidRPr="00140DF8" w:rsidRDefault="00BF51C0" w:rsidP="00BF51C0">
      <w:pPr>
        <w:ind w:firstLine="709"/>
        <w:jc w:val="both"/>
        <w:rPr>
          <w:rFonts w:eastAsia="Calibri"/>
          <w:lang w:val="bg-BG"/>
        </w:rPr>
      </w:pPr>
      <w:proofErr w:type="spellStart"/>
      <w:r w:rsidRPr="00140DF8">
        <w:rPr>
          <w:rFonts w:eastAsia="Calibri"/>
          <w:b/>
          <w:lang w:val="bg-BG"/>
        </w:rPr>
        <w:t>ОцСп</w:t>
      </w:r>
      <w:proofErr w:type="spellEnd"/>
      <w:r w:rsidRPr="00140DF8">
        <w:rPr>
          <w:rFonts w:eastAsia="Calibri"/>
          <w:lang w:val="bg-BG"/>
        </w:rPr>
        <w:t xml:space="preserve"> е оценката на срока за проектиране, предложен от участника за изпълнението на дейностите от предмета на тази обществената поръчка. Тя се извършва по следната формула:</w:t>
      </w:r>
    </w:p>
    <w:p w:rsidR="00BF51C0" w:rsidRPr="00140DF8" w:rsidRDefault="00BF51C0" w:rsidP="00BF51C0">
      <w:pPr>
        <w:ind w:firstLine="709"/>
        <w:jc w:val="both"/>
        <w:rPr>
          <w:rFonts w:eastAsia="Calibri"/>
          <w:lang w:val="bg-BG"/>
        </w:rPr>
      </w:pPr>
    </w:p>
    <w:p w:rsidR="00BF51C0" w:rsidRPr="00140DF8" w:rsidRDefault="00BF51C0" w:rsidP="00BF51C0">
      <w:pPr>
        <w:jc w:val="both"/>
        <w:rPr>
          <w:rFonts w:eastAsia="Calibri"/>
          <w:lang w:val="bg-BG"/>
        </w:rPr>
      </w:pPr>
      <w:r w:rsidRPr="00140DF8">
        <w:rPr>
          <w:rFonts w:eastAsia="Calibri"/>
          <w:noProof/>
          <w:position w:val="-28"/>
          <w:lang w:val="bg-BG" w:eastAsia="bg-BG"/>
        </w:rPr>
        <w:drawing>
          <wp:inline distT="0" distB="0" distL="0" distR="0" wp14:anchorId="75709129" wp14:editId="7A7DC428">
            <wp:extent cx="5436235" cy="421640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1C0" w:rsidRPr="00140DF8" w:rsidRDefault="00BF51C0" w:rsidP="00BF51C0">
      <w:pPr>
        <w:ind w:firstLine="709"/>
        <w:jc w:val="both"/>
        <w:rPr>
          <w:rFonts w:eastAsia="Calibri"/>
          <w:b/>
          <w:lang w:val="bg-BG"/>
        </w:rPr>
      </w:pPr>
    </w:p>
    <w:p w:rsidR="00BF51C0" w:rsidRPr="00140DF8" w:rsidRDefault="00BF51C0" w:rsidP="00BF51C0">
      <w:pPr>
        <w:ind w:firstLine="709"/>
        <w:jc w:val="both"/>
        <w:rPr>
          <w:rFonts w:eastAsia="Calibri"/>
          <w:lang w:val="bg-BG"/>
        </w:rPr>
      </w:pPr>
      <w:proofErr w:type="spellStart"/>
      <w:r w:rsidRPr="00140DF8">
        <w:rPr>
          <w:rFonts w:eastAsia="Calibri"/>
          <w:b/>
          <w:lang w:val="bg-BG"/>
        </w:rPr>
        <w:t>ОцСсмр</w:t>
      </w:r>
      <w:proofErr w:type="spellEnd"/>
      <w:r w:rsidRPr="00140DF8">
        <w:rPr>
          <w:rFonts w:eastAsia="Calibri"/>
          <w:lang w:val="bg-BG"/>
        </w:rPr>
        <w:t xml:space="preserve"> е оценката на срока за изпълнение на СМР, предложен от участника за изпълнението на дейностите от предмета на тази обществената поръчка. Тя се извършва по следната формула:</w:t>
      </w:r>
    </w:p>
    <w:p w:rsidR="00BF51C0" w:rsidRPr="00140DF8" w:rsidRDefault="00BF51C0" w:rsidP="00BF51C0">
      <w:pPr>
        <w:ind w:firstLine="709"/>
        <w:jc w:val="both"/>
        <w:rPr>
          <w:rFonts w:eastAsia="Calibri"/>
          <w:color w:val="FF0000"/>
          <w:lang w:val="bg-BG"/>
        </w:rPr>
      </w:pPr>
    </w:p>
    <w:p w:rsidR="00BF51C0" w:rsidRPr="00140DF8" w:rsidRDefault="00BF51C0" w:rsidP="00BF51C0">
      <w:pPr>
        <w:tabs>
          <w:tab w:val="left" w:pos="-600"/>
        </w:tabs>
        <w:autoSpaceDE w:val="0"/>
        <w:autoSpaceDN w:val="0"/>
        <w:adjustRightInd w:val="0"/>
        <w:contextualSpacing/>
        <w:jc w:val="both"/>
        <w:rPr>
          <w:rFonts w:eastAsia="Batang"/>
          <w:b/>
          <w:color w:val="FF0000"/>
          <w:lang w:val="bg-BG"/>
        </w:rPr>
      </w:pPr>
      <w:r w:rsidRPr="00140DF8">
        <w:rPr>
          <w:rFonts w:eastAsia="Calibri"/>
          <w:noProof/>
          <w:color w:val="FF0000"/>
          <w:position w:val="-28"/>
          <w:lang w:val="bg-BG" w:eastAsia="bg-BG"/>
        </w:rPr>
        <w:drawing>
          <wp:inline distT="0" distB="0" distL="0" distR="0" wp14:anchorId="45DB32E2" wp14:editId="053BE7CA">
            <wp:extent cx="5758180" cy="421640"/>
            <wp:effectExtent l="0" t="0" r="0" b="0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>Оценката по Показател „Срок за изпълнение“ представлява сбор от оценките на предложения от участника срок  за проектиране с тежест 30 и предложения от участника срок за изпълнение на СМР с тежест 70.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lastRenderedPageBreak/>
        <w:t>Общата максимална оценка при изчисляването на Показател „Срок за изпълнение“ е 100. Полученият резултат се умножава с коефициента за тежест 10%, предвиден в методиката за оценка на офертите.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>Показател „Срок за изпълнение е показател, отразяващ тежестта на предложения от участника най-кратък срок за изпълнение на поръчката (включващ срока за проектиране и срока за изпълнение на СМР) в календарни дни при график напълно съобразен с предложената организация на изпълнението, показващ изпълнението на дейностите по отделните обекти. В графика следва ясно да са посочени поотделно конкретните срокове за изпълнение на отделните дейности по самостоятелните обекти.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>Не се допуска разминаване между предложения срок за изпълнение в линейния календарен план и посочения в Техническото предложение срок за изпълнение на поръчката, както и предложение за срок на изпълнение, който надвишава максималния допустим срок за изпълнението на поръчката, посочен в документацията за участие. Участник, чието предложение за срока на изпълнение не съответства на този посочен в линейния график ще бъде отстранен от участие в следващия етап на оценка на предложението.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>Максималната оценка по този показател получава тази оферта, в която е предложен най-кратък срок за изпълнение в календарни дни, при график напълно съобразен с предложената организация на изпълнението.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Calibri"/>
          <w:b/>
          <w:lang w:val="bg-BG"/>
        </w:rPr>
      </w:pPr>
      <w:r w:rsidRPr="00140DF8">
        <w:rPr>
          <w:rFonts w:eastAsia="Calibri"/>
          <w:b/>
          <w:lang w:val="bg-BG"/>
        </w:rPr>
        <w:t>Участници, които предложат срок за проектиране, по-кратък от поставения минимален срок (30 календарни дни) или по-дълъг от поставения максимален срок (60 календарни дни), ще бъдат отстранявани от по-нататъшно участие в процедурата.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Calibri"/>
          <w:b/>
          <w:lang w:val="bg-BG"/>
        </w:rPr>
      </w:pPr>
    </w:p>
    <w:p w:rsidR="00BF51C0" w:rsidRPr="00140DF8" w:rsidRDefault="00BF51C0" w:rsidP="00BF51C0">
      <w:pPr>
        <w:ind w:firstLine="709"/>
        <w:jc w:val="both"/>
        <w:rPr>
          <w:rFonts w:eastAsia="Calibri"/>
          <w:bCs/>
          <w:i/>
          <w:lang w:val="bg-BG" w:eastAsia="fr-FR"/>
        </w:rPr>
      </w:pPr>
      <w:r w:rsidRPr="00140DF8">
        <w:rPr>
          <w:rFonts w:eastAsia="Calibri"/>
          <w:b/>
          <w:i/>
          <w:iCs/>
          <w:lang w:val="bg-BG" w:eastAsia="fr-FR"/>
        </w:rPr>
        <w:t xml:space="preserve">Забележка: </w:t>
      </w:r>
      <w:r w:rsidRPr="00140DF8">
        <w:rPr>
          <w:rFonts w:eastAsia="Calibri"/>
          <w:i/>
          <w:lang w:val="bg-BG" w:eastAsia="fr-FR"/>
        </w:rPr>
        <w:t xml:space="preserve"> Сроковете за изпълнение на предмета на поръчката следва да са описани в Техническото предложение</w:t>
      </w:r>
      <w:r w:rsidRPr="00140DF8">
        <w:rPr>
          <w:rFonts w:eastAsia="Calibri"/>
          <w:lang w:val="bg-BG" w:eastAsia="fr-FR"/>
        </w:rPr>
        <w:t xml:space="preserve"> </w:t>
      </w:r>
      <w:r w:rsidRPr="00140DF8">
        <w:rPr>
          <w:rFonts w:eastAsia="Calibri"/>
          <w:i/>
          <w:lang w:val="bg-BG" w:eastAsia="fr-FR"/>
        </w:rPr>
        <w:t xml:space="preserve">и Линейния график за изпълнение на предмета на поръчката. Срокът </w:t>
      </w:r>
      <w:r w:rsidRPr="00140DF8">
        <w:rPr>
          <w:rFonts w:eastAsia="Calibri"/>
          <w:bCs/>
          <w:i/>
          <w:lang w:val="bg-BG" w:eastAsia="fr-FR"/>
        </w:rPr>
        <w:t xml:space="preserve">за изпълнение на поръчката се представя като </w:t>
      </w:r>
      <w:r w:rsidRPr="00140DF8">
        <w:rPr>
          <w:rFonts w:eastAsia="Calibri"/>
          <w:b/>
          <w:bCs/>
          <w:i/>
          <w:u w:val="single"/>
          <w:lang w:val="bg-BG" w:eastAsia="fr-FR"/>
        </w:rPr>
        <w:t>цяло число в календарни дни,</w:t>
      </w:r>
      <w:r w:rsidRPr="00140DF8">
        <w:rPr>
          <w:rFonts w:eastAsia="Calibri"/>
          <w:bCs/>
          <w:i/>
          <w:lang w:val="bg-BG" w:eastAsia="fr-FR"/>
        </w:rPr>
        <w:t xml:space="preserve"> в който следва да са обособени поотделно срок за изготвяне на инвестиционен проект и срок за изпълнение на строително-монтажните работи по изграждане на обекта/</w:t>
      </w:r>
      <w:proofErr w:type="spellStart"/>
      <w:r w:rsidRPr="00140DF8">
        <w:rPr>
          <w:rFonts w:eastAsia="Calibri"/>
          <w:bCs/>
          <w:i/>
          <w:lang w:val="bg-BG" w:eastAsia="fr-FR"/>
        </w:rPr>
        <w:t>ите</w:t>
      </w:r>
      <w:proofErr w:type="spellEnd"/>
      <w:r w:rsidRPr="00140DF8">
        <w:rPr>
          <w:rFonts w:eastAsia="Calibri"/>
          <w:bCs/>
          <w:i/>
          <w:lang w:val="bg-BG" w:eastAsia="fr-FR"/>
        </w:rPr>
        <w:t>.</w:t>
      </w:r>
    </w:p>
    <w:p w:rsidR="00BF51C0" w:rsidRPr="00140DF8" w:rsidRDefault="00BF51C0" w:rsidP="00BF51C0">
      <w:pPr>
        <w:tabs>
          <w:tab w:val="left" w:pos="709"/>
        </w:tabs>
        <w:ind w:firstLine="709"/>
        <w:jc w:val="both"/>
        <w:rPr>
          <w:b/>
          <w:bCs/>
          <w:i/>
          <w:lang w:val="bg-BG" w:eastAsia="pl-PL"/>
        </w:rPr>
      </w:pPr>
      <w:r w:rsidRPr="00140DF8">
        <w:rPr>
          <w:bCs/>
          <w:i/>
          <w:lang w:val="bg-BG" w:eastAsia="fr-FR"/>
        </w:rPr>
        <w:t xml:space="preserve"> </w:t>
      </w:r>
      <w:r w:rsidRPr="00140DF8">
        <w:rPr>
          <w:i/>
          <w:lang w:val="bg-BG" w:eastAsia="fr-FR"/>
        </w:rPr>
        <w:t>Ще бъдат отстранени предложения, в които срокът за изпълнение е предложен в различна мерна единица, и/или е констатирано разминаване между предложения срок за изпълнение и Линейния график, и/или е констатирано несъответствие и/или разминаване между  информацията в Обяснителната записка</w:t>
      </w:r>
      <w:r w:rsidRPr="00140DF8">
        <w:rPr>
          <w:lang w:val="bg-BG" w:eastAsia="fr-FR"/>
        </w:rPr>
        <w:t xml:space="preserve"> </w:t>
      </w:r>
      <w:r w:rsidRPr="00140DF8">
        <w:rPr>
          <w:i/>
          <w:lang w:val="bg-BG" w:eastAsia="fr-FR"/>
        </w:rPr>
        <w:t>и Линейния график, и/или е предложен срок за изпълнение, който надвишава максималния допустим срок за изпълнението на поръчката.</w:t>
      </w:r>
      <w:r w:rsidRPr="00140DF8">
        <w:rPr>
          <w:i/>
          <w:lang w:val="bg-BG"/>
        </w:rPr>
        <w:t xml:space="preserve"> </w:t>
      </w:r>
      <w:r w:rsidRPr="00140DF8">
        <w:rPr>
          <w:i/>
          <w:lang w:val="bg-BG" w:eastAsia="fr-FR"/>
        </w:rPr>
        <w:t>При изчисляването от календарни дни съгласно Линейния график в месеци, следва да се вземе като константа брой дни в месеца 30.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>3. Изчисляване на комплексната оценка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>Формулата по която се изчислява „Комплексната оценка” за всеки участник е: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>КО = К1 + К2 + К3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>При извършване на оценяването по съответните показатели на оценка ще се използва закръгляване до втория знак след десетичната запетая.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 xml:space="preserve">На първо място се класира участникът събрал най-много точки по комплексна оценка (КО), където КО има максимална стойност 100 точки. 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>В случай че комплексните оценки на две или повече оферти са равни, за определяне на изпълнител се прилагат правилата на чл. 58 ППЗОП</w:t>
      </w:r>
    </w:p>
    <w:p w:rsidR="00BF51C0" w:rsidRPr="00140DF8" w:rsidRDefault="00BF51C0" w:rsidP="00BF51C0">
      <w:pPr>
        <w:ind w:firstLine="708"/>
        <w:jc w:val="both"/>
        <w:rPr>
          <w:rFonts w:eastAsia="TimesNewRomanPSMT-Identity-H"/>
          <w:lang w:val="bg-BG"/>
        </w:rPr>
      </w:pPr>
    </w:p>
    <w:p w:rsidR="00BF51C0" w:rsidRPr="00140DF8" w:rsidRDefault="00BF51C0" w:rsidP="00BF51C0">
      <w:pPr>
        <w:rPr>
          <w:lang w:val="bg-BG"/>
        </w:rPr>
      </w:pPr>
      <w:r w:rsidRPr="00140DF8">
        <w:rPr>
          <w:lang w:val="bg-BG"/>
        </w:rPr>
        <w:br w:type="column"/>
      </w:r>
    </w:p>
    <w:p w:rsidR="00BF51C0" w:rsidRPr="00140DF8" w:rsidRDefault="00BF51C0" w:rsidP="00BF51C0">
      <w:pPr>
        <w:rPr>
          <w:lang w:val="bg-BG"/>
        </w:rPr>
      </w:pPr>
    </w:p>
    <w:p w:rsidR="00BF51C0" w:rsidRPr="00140DF8" w:rsidRDefault="00BF51C0" w:rsidP="00BF51C0">
      <w:pPr>
        <w:rPr>
          <w:lang w:val="bg-BG"/>
        </w:rPr>
      </w:pPr>
    </w:p>
    <w:p w:rsidR="00BF51C0" w:rsidRPr="00140DF8" w:rsidRDefault="00BF51C0" w:rsidP="00BF51C0">
      <w:pPr>
        <w:rPr>
          <w:lang w:val="bg-BG"/>
        </w:rPr>
      </w:pPr>
    </w:p>
    <w:p w:rsidR="00BF51C0" w:rsidRPr="00140DF8" w:rsidRDefault="00BF51C0" w:rsidP="00BF51C0">
      <w:pPr>
        <w:rPr>
          <w:lang w:val="bg-BG"/>
        </w:rPr>
      </w:pPr>
      <w:bookmarkStart w:id="0" w:name="_GoBack"/>
      <w:bookmarkEnd w:id="0"/>
    </w:p>
    <w:p w:rsidR="00BF51C0" w:rsidRPr="00140DF8" w:rsidRDefault="00BF51C0" w:rsidP="00BF51C0">
      <w:pPr>
        <w:rPr>
          <w:lang w:val="bg-BG"/>
        </w:rPr>
      </w:pPr>
    </w:p>
    <w:p w:rsidR="00BF51C0" w:rsidRPr="00140DF8" w:rsidRDefault="00BF51C0" w:rsidP="00BF51C0">
      <w:pPr>
        <w:rPr>
          <w:lang w:val="bg-BG"/>
        </w:rPr>
      </w:pPr>
    </w:p>
    <w:p w:rsidR="00BF51C0" w:rsidRPr="00140DF8" w:rsidRDefault="00BF51C0" w:rsidP="00BF51C0">
      <w:pPr>
        <w:rPr>
          <w:lang w:val="bg-BG"/>
        </w:rPr>
      </w:pPr>
    </w:p>
    <w:p w:rsidR="00BF51C0" w:rsidRPr="00140DF8" w:rsidRDefault="00BF51C0" w:rsidP="00BF51C0">
      <w:pPr>
        <w:rPr>
          <w:lang w:val="bg-BG"/>
        </w:rPr>
      </w:pPr>
    </w:p>
    <w:p w:rsidR="00BF51C0" w:rsidRPr="00140DF8" w:rsidRDefault="00BF51C0" w:rsidP="00BF51C0">
      <w:pPr>
        <w:rPr>
          <w:lang w:val="bg-BG"/>
        </w:rPr>
      </w:pPr>
    </w:p>
    <w:p w:rsidR="00BF51C0" w:rsidRPr="00140DF8" w:rsidRDefault="00BF51C0" w:rsidP="00BF51C0">
      <w:pPr>
        <w:rPr>
          <w:lang w:val="bg-BG"/>
        </w:rPr>
      </w:pPr>
    </w:p>
    <w:p w:rsidR="00BF51C0" w:rsidRPr="00140DF8" w:rsidRDefault="00BF51C0" w:rsidP="00BF51C0">
      <w:pPr>
        <w:rPr>
          <w:lang w:val="bg-BG"/>
        </w:rPr>
      </w:pPr>
    </w:p>
    <w:p w:rsidR="00BF51C0" w:rsidRPr="00140DF8" w:rsidRDefault="00BF51C0" w:rsidP="00BF51C0">
      <w:pPr>
        <w:rPr>
          <w:lang w:val="bg-BG"/>
        </w:rPr>
      </w:pPr>
    </w:p>
    <w:p w:rsidR="00BF51C0" w:rsidRPr="00140DF8" w:rsidRDefault="00BF51C0" w:rsidP="00BF51C0">
      <w:pPr>
        <w:rPr>
          <w:lang w:val="bg-BG"/>
        </w:rPr>
      </w:pPr>
    </w:p>
    <w:p w:rsidR="008F7193" w:rsidRDefault="008F7193"/>
    <w:sectPr w:rsidR="008F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-Identity-H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F2421"/>
    <w:multiLevelType w:val="hybridMultilevel"/>
    <w:tmpl w:val="826289CE"/>
    <w:lvl w:ilvl="0" w:tplc="23CEDBF2">
      <w:start w:val="1"/>
      <w:numFmt w:val="decimal"/>
      <w:lvlText w:val="%1."/>
      <w:lvlJc w:val="left"/>
      <w:pPr>
        <w:ind w:left="720" w:hanging="360"/>
      </w:pPr>
      <w:rPr>
        <w:rFonts w:eastAsia="TimesNewRomanPSMT-Identity-H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EB"/>
    <w:rsid w:val="003708EB"/>
    <w:rsid w:val="008F7193"/>
    <w:rsid w:val="00B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7FD3"/>
  <w15:chartTrackingRefBased/>
  <w15:docId w15:val="{6CFB0158-1133-44BA-AE0F-417DBBEE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2">
    <w:name w:val="No Spacing2"/>
    <w:rsid w:val="00BF51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2015</Words>
  <Characters>11486</Characters>
  <Application>Microsoft Office Word</Application>
  <DocSecurity>0</DocSecurity>
  <Lines>95</Lines>
  <Paragraphs>26</Paragraphs>
  <ScaleCrop>false</ScaleCrop>
  <Company/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P-Stoyanova</dc:creator>
  <cp:keywords/>
  <dc:description/>
  <cp:lastModifiedBy>P-Stoyanova</cp:lastModifiedBy>
  <cp:revision>2</cp:revision>
  <dcterms:created xsi:type="dcterms:W3CDTF">2018-04-25T08:23:00Z</dcterms:created>
  <dcterms:modified xsi:type="dcterms:W3CDTF">2018-04-25T08:23:00Z</dcterms:modified>
</cp:coreProperties>
</file>